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80" w:lineRule="auto"/>
        <w:rPr>
          <w:rFonts w:ascii="Times New Roman" w:cs="Times New Roman" w:eastAsia="Times New Roman" w:hAnsi="Times New Roman"/>
          <w:b w:val="1"/>
          <w:sz w:val="36"/>
          <w:szCs w:val="36"/>
        </w:rPr>
      </w:pPr>
      <w:bookmarkStart w:colFirst="0" w:colLast="0" w:name="_heading=h.gjdgxs" w:id="0"/>
      <w:bookmarkEnd w:id="0"/>
      <w:r w:rsidDel="00000000" w:rsidR="00000000" w:rsidRPr="00000000">
        <w:rPr>
          <w:color w:val="2e75b5"/>
          <w:sz w:val="28"/>
          <w:szCs w:val="28"/>
          <w:rtl w:val="0"/>
        </w:rPr>
        <w:t xml:space="preserve">Confidential Discussions with Adolescents on Sexual Activity</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color w:val="000000"/>
          <w:rtl w:val="0"/>
        </w:rPr>
        <w:t xml:space="preserve">Regarding discussions on sexual activity, the </w:t>
      </w:r>
      <w:hyperlink r:id="rId7">
        <w:r w:rsidDel="00000000" w:rsidR="00000000" w:rsidRPr="00000000">
          <w:rPr>
            <w:color w:val="0000fa"/>
            <w:u w:val="single"/>
            <w:rtl w:val="0"/>
          </w:rPr>
          <w:t xml:space="preserve">2021 CDC Sexually Transmitted Infections Treatment Guidelines</w:t>
        </w:r>
      </w:hyperlink>
      <w:r w:rsidDel="00000000" w:rsidR="00000000" w:rsidRPr="00000000">
        <w:rPr>
          <w:color w:val="000000"/>
          <w:rtl w:val="0"/>
        </w:rPr>
        <w:t xml:space="preserve"> and </w:t>
      </w:r>
      <w:hyperlink r:id="rId8">
        <w:r w:rsidDel="00000000" w:rsidR="00000000" w:rsidRPr="00000000">
          <w:rPr>
            <w:color w:val="0000fa"/>
            <w:u w:val="single"/>
            <w:rtl w:val="0"/>
          </w:rPr>
          <w:t xml:space="preserve">2021 USPSTF recommendations</w:t>
        </w:r>
      </w:hyperlink>
      <w:r w:rsidDel="00000000" w:rsidR="00000000" w:rsidRPr="00000000">
        <w:rPr>
          <w:color w:val="000000"/>
          <w:rtl w:val="0"/>
        </w:rPr>
        <w:t xml:space="preserve"> include:</w:t>
      </w:r>
      <w:r w:rsidDel="00000000" w:rsidR="00000000" w:rsidRPr="00000000">
        <w:rPr>
          <w:rtl w:val="0"/>
        </w:rPr>
      </w:r>
    </w:p>
    <w:p w:rsidR="00000000" w:rsidDel="00000000" w:rsidP="00000000" w:rsidRDefault="00000000" w:rsidRPr="00000000" w14:paraId="00000003">
      <w:pPr>
        <w:numPr>
          <w:ilvl w:val="0"/>
          <w:numId w:val="1"/>
        </w:numPr>
        <w:ind w:left="720" w:hanging="360"/>
        <w:rPr>
          <w:rFonts w:ascii="Noto Sans Symbols" w:cs="Noto Sans Symbols" w:eastAsia="Noto Sans Symbols" w:hAnsi="Noto Sans Symbols"/>
          <w:color w:val="000000"/>
        </w:rPr>
      </w:pPr>
      <w:r w:rsidDel="00000000" w:rsidR="00000000" w:rsidRPr="00000000">
        <w:rPr>
          <w:color w:val="000000"/>
          <w:rtl w:val="0"/>
        </w:rPr>
        <w:t xml:space="preserve">Pediatric healthcare professionals should confidentially ask all adolescents whether they have ever had sexual intercourse, are currently sexually active, or are planning to become sexually active in the future. Professionals should ask about gender identity and sexual orientation. </w:t>
      </w:r>
      <w:r w:rsidDel="00000000" w:rsidR="00000000" w:rsidRPr="00000000">
        <w:rPr>
          <w:rtl w:val="0"/>
        </w:rPr>
      </w:r>
    </w:p>
    <w:p w:rsidR="00000000" w:rsidDel="00000000" w:rsidP="00000000" w:rsidRDefault="00000000" w:rsidRPr="00000000" w14:paraId="00000004">
      <w:pPr>
        <w:numPr>
          <w:ilvl w:val="0"/>
          <w:numId w:val="1"/>
        </w:numPr>
        <w:ind w:left="720" w:hanging="360"/>
        <w:rPr>
          <w:rFonts w:ascii="Noto Sans Symbols" w:cs="Noto Sans Symbols" w:eastAsia="Noto Sans Symbols" w:hAnsi="Noto Sans Symbols"/>
          <w:color w:val="000000"/>
        </w:rPr>
      </w:pPr>
      <w:r w:rsidDel="00000000" w:rsidR="00000000" w:rsidRPr="00000000">
        <w:rPr>
          <w:color w:val="000000"/>
          <w:rtl w:val="0"/>
        </w:rPr>
        <w:t xml:space="preserve">Professionals should define the terms “sexual intercourse,” “gender identity,” “sexual orientation,” and “sexually active,” because these terms can have different meanings for adolescents. It is important that adolescents and young adults are educated to recognize that noncoital practices (oral/genital contact, anal intercourse, and hand/genital contact), as well as vaginal intercourse, put them at risk of STIs. </w:t>
      </w: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color w:val="000000"/>
          <w:rtl w:val="0"/>
        </w:rPr>
        <w:t xml:space="preserve">Also see:</w:t>
      </w:r>
      <w:r w:rsidDel="00000000" w:rsidR="00000000" w:rsidRPr="00000000">
        <w:rPr>
          <w:rtl w:val="0"/>
        </w:rPr>
      </w:r>
    </w:p>
    <w:p w:rsidR="00000000" w:rsidDel="00000000" w:rsidP="00000000" w:rsidRDefault="00000000" w:rsidRPr="00000000" w14:paraId="00000007">
      <w:pPr>
        <w:numPr>
          <w:ilvl w:val="0"/>
          <w:numId w:val="2"/>
        </w:numPr>
        <w:ind w:left="720" w:hanging="360"/>
        <w:rPr>
          <w:rFonts w:ascii="Noto Sans Symbols" w:cs="Noto Sans Symbols" w:eastAsia="Noto Sans Symbols" w:hAnsi="Noto Sans Symbols"/>
          <w:color w:val="000000"/>
        </w:rPr>
      </w:pPr>
      <w:r w:rsidDel="00000000" w:rsidR="00000000" w:rsidRPr="00000000">
        <w:rPr>
          <w:color w:val="000000"/>
          <w:rtl w:val="0"/>
        </w:rPr>
        <w:t xml:space="preserve">Additional adolescent confidentiality information and resources presented in this EQIPP course:</w:t>
      </w:r>
      <w:r w:rsidDel="00000000" w:rsidR="00000000" w:rsidRPr="00000000">
        <w:rPr>
          <w:rtl w:val="0"/>
        </w:rPr>
      </w:r>
    </w:p>
    <w:p w:rsidR="00000000" w:rsidDel="00000000" w:rsidP="00000000" w:rsidRDefault="00000000" w:rsidRPr="00000000" w14:paraId="00000008">
      <w:pPr>
        <w:numPr>
          <w:ilvl w:val="0"/>
          <w:numId w:val="2"/>
        </w:numPr>
        <w:ind w:left="720" w:hanging="360"/>
        <w:rPr>
          <w:u w:val="none"/>
        </w:rPr>
      </w:pPr>
      <w:hyperlink r:id="rId9">
        <w:r w:rsidDel="00000000" w:rsidR="00000000" w:rsidRPr="00000000">
          <w:rPr>
            <w:color w:val="0000ff"/>
            <w:u w:val="single"/>
            <w:rtl w:val="0"/>
          </w:rPr>
          <w:t xml:space="preserve">Sample Confidentiality Statement and Customizable Confidentiality Letters</w:t>
        </w:r>
      </w:hyperlink>
      <w:r w:rsidDel="00000000" w:rsidR="00000000" w:rsidRPr="00000000">
        <w:fldChar w:fldCharType="begin"/>
        <w:instrText xml:space="preserve"> HYPERLINK "https://eqipp.aap.org/File%20Library/Courses/bright-futures3/Sample%20Confidentiality%20Statement%20and%20Customizable%20Confidentiality%20Letters.pdf" </w:instrText>
        <w:fldChar w:fldCharType="separate"/>
      </w:r>
      <w:r w:rsidDel="00000000" w:rsidR="00000000" w:rsidRPr="00000000">
        <w:rPr>
          <w:rtl w:val="0"/>
        </w:rPr>
      </w:r>
    </w:p>
    <w:p w:rsidR="00000000" w:rsidDel="00000000" w:rsidP="00000000" w:rsidRDefault="00000000" w:rsidRPr="00000000" w14:paraId="00000009">
      <w:pPr>
        <w:numPr>
          <w:ilvl w:val="0"/>
          <w:numId w:val="3"/>
        </w:numPr>
        <w:ind w:left="1080" w:hanging="360"/>
        <w:rPr>
          <w:rFonts w:ascii="Noto Sans Symbols" w:cs="Noto Sans Symbols" w:eastAsia="Noto Sans Symbols" w:hAnsi="Noto Sans Symbols"/>
          <w:color w:val="000000"/>
        </w:rPr>
      </w:pPr>
      <w:r w:rsidDel="00000000" w:rsidR="00000000" w:rsidRPr="00000000">
        <w:fldChar w:fldCharType="end"/>
      </w:r>
      <w:hyperlink r:id="rId10">
        <w:r w:rsidDel="00000000" w:rsidR="00000000" w:rsidRPr="00000000">
          <w:rPr>
            <w:color w:val="0000ff"/>
            <w:u w:val="single"/>
            <w:rtl w:val="0"/>
          </w:rPr>
          <w:t xml:space="preserve">Adolescent Confidentiality and Privacy</w:t>
        </w:r>
      </w:hyperlink>
      <w:r w:rsidDel="00000000" w:rsidR="00000000" w:rsidRPr="00000000">
        <w:rPr>
          <w:rtl w:val="0"/>
        </w:rPr>
      </w:r>
    </w:p>
    <w:p w:rsidR="00000000" w:rsidDel="00000000" w:rsidP="00000000" w:rsidRDefault="00000000" w:rsidRPr="00000000" w14:paraId="0000000A">
      <w:pPr>
        <w:numPr>
          <w:ilvl w:val="0"/>
          <w:numId w:val="3"/>
        </w:numPr>
        <w:ind w:left="720" w:hanging="360"/>
        <w:rPr>
          <w:rFonts w:ascii="Noto Sans Symbols" w:cs="Noto Sans Symbols" w:eastAsia="Noto Sans Symbols" w:hAnsi="Noto Sans Symbols"/>
          <w:color w:val="000000"/>
        </w:rPr>
      </w:pPr>
      <w:r w:rsidDel="00000000" w:rsidR="00000000" w:rsidRPr="00000000">
        <w:rPr>
          <w:color w:val="000000"/>
          <w:rtl w:val="0"/>
        </w:rPr>
        <w:t xml:space="preserve">The 2020 Society for Adolescent Health and Medicine statement, </w:t>
      </w:r>
      <w:hyperlink r:id="rId11">
        <w:r w:rsidDel="00000000" w:rsidR="00000000" w:rsidRPr="00000000">
          <w:rPr>
            <w:i w:val="1"/>
            <w:color w:val="0000fa"/>
            <w:u w:val="single"/>
            <w:rtl w:val="0"/>
          </w:rPr>
          <w:t xml:space="preserve">The 21st Century Cures Act &amp; Adolescent Confidentiality</w:t>
        </w:r>
      </w:hyperlink>
      <w:r w:rsidDel="00000000" w:rsidR="00000000" w:rsidRPr="00000000">
        <w:rPr>
          <w:i w:val="1"/>
          <w:color w:val="0000fa"/>
          <w:u w:val="single"/>
          <w:rtl w:val="0"/>
        </w:rPr>
        <w:t xml:space="preserve">,</w:t>
      </w:r>
      <w:r w:rsidDel="00000000" w:rsidR="00000000" w:rsidRPr="00000000">
        <w:rPr>
          <w:color w:val="000000"/>
          <w:rtl w:val="0"/>
        </w:rPr>
        <w:t xml:space="preserve"> to develop confidentiality practices.</w:t>
      </w:r>
      <w:r w:rsidDel="00000000" w:rsidR="00000000" w:rsidRPr="00000000">
        <w:rPr>
          <w:rtl w:val="0"/>
        </w:rPr>
      </w:r>
    </w:p>
    <w:p w:rsidR="00000000" w:rsidDel="00000000" w:rsidP="00000000" w:rsidRDefault="00000000" w:rsidRPr="00000000" w14:paraId="0000000B">
      <w:pPr>
        <w:numPr>
          <w:ilvl w:val="0"/>
          <w:numId w:val="4"/>
        </w:numPr>
        <w:ind w:left="720" w:hanging="360"/>
        <w:rPr>
          <w:rFonts w:ascii="Noto Sans Symbols" w:cs="Noto Sans Symbols" w:eastAsia="Noto Sans Symbols" w:hAnsi="Noto Sans Symbols"/>
          <w:color w:val="000000"/>
        </w:rPr>
      </w:pPr>
      <w:r w:rsidDel="00000000" w:rsidR="00000000" w:rsidRPr="00000000">
        <w:rPr>
          <w:color w:val="000000"/>
          <w:rtl w:val="0"/>
        </w:rPr>
        <w:t xml:space="preserve">2018 AAP </w:t>
      </w:r>
      <w:hyperlink r:id="rId12">
        <w:r w:rsidDel="00000000" w:rsidR="00000000" w:rsidRPr="00000000">
          <w:rPr>
            <w:color w:val="0000fa"/>
            <w:u w:val="single"/>
            <w:rtl w:val="0"/>
          </w:rPr>
          <w:t xml:space="preserve">Ensuring Comprehensive Care and Support for Transgender and Gender-Diverse Children and Adolescents</w:t>
        </w:r>
      </w:hyperlink>
      <w:r w:rsidDel="00000000" w:rsidR="00000000" w:rsidRPr="00000000">
        <w:rPr>
          <w:color w:val="000000"/>
          <w:rtl w:val="0"/>
        </w:rPr>
        <w:t xml:space="preserve"> policy statement</w:t>
      </w:r>
      <w:r w:rsidDel="00000000" w:rsidR="00000000" w:rsidRPr="00000000">
        <w:rPr>
          <w:rtl w:val="0"/>
        </w:rPr>
      </w:r>
    </w:p>
    <w:p w:rsidR="00000000" w:rsidDel="00000000" w:rsidP="00000000" w:rsidRDefault="00000000" w:rsidRPr="00000000" w14:paraId="0000000C">
      <w:pPr>
        <w:numPr>
          <w:ilvl w:val="0"/>
          <w:numId w:val="4"/>
        </w:numPr>
        <w:ind w:left="720" w:hanging="360"/>
        <w:rPr>
          <w:rFonts w:ascii="Noto Sans Symbols" w:cs="Noto Sans Symbols" w:eastAsia="Noto Sans Symbols" w:hAnsi="Noto Sans Symbols"/>
          <w:color w:val="000000"/>
        </w:rPr>
      </w:pPr>
      <w:bookmarkStart w:colFirst="0" w:colLast="0" w:name="_heading=h.30j0zll" w:id="1"/>
      <w:bookmarkEnd w:id="1"/>
      <w:r w:rsidDel="00000000" w:rsidR="00000000" w:rsidRPr="00000000">
        <w:rPr>
          <w:color w:val="000000"/>
          <w:rtl w:val="0"/>
        </w:rPr>
        <w:t xml:space="preserve">AAP web page, including </w:t>
      </w:r>
      <w:hyperlink r:id="rId13">
        <w:r w:rsidDel="00000000" w:rsidR="00000000" w:rsidRPr="00000000">
          <w:rPr>
            <w:color w:val="0000ff"/>
            <w:u w:val="single"/>
            <w:rtl w:val="0"/>
          </w:rPr>
          <w:t xml:space="preserve">how to support special adolescent populations</w:t>
        </w:r>
      </w:hyperlink>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sectPr>
      <w:headerReference r:id="rId14" w:type="default"/>
      <w:footerReference r:id="rId15"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ambr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pBdr>
        <w:top w:color="c0c0c0" w:space="0" w:sz="8" w:val="single"/>
        <w:left w:space="0" w:sz="0" w:val="nil"/>
        <w:bottom w:space="0" w:sz="0" w:val="nil"/>
        <w:right w:space="0" w:sz="0" w:val="nil"/>
        <w:between w:space="0" w:sz="0" w:val="nil"/>
      </w:pBdr>
      <w:tabs>
        <w:tab w:val="center" w:pos="4680"/>
        <w:tab w:val="right" w:pos="9360"/>
        <w:tab w:val="center" w:pos="4140"/>
        <w:tab w:val="right" w:pos="7740"/>
        <w:tab w:val="left" w:pos="9000"/>
      </w:tabs>
      <w:rPr>
        <w:color w:val="000000"/>
        <w:sz w:val="16"/>
        <w:szCs w:val="16"/>
      </w:rPr>
    </w:pPr>
    <w:r w:rsidDel="00000000" w:rsidR="00000000" w:rsidRPr="00000000">
      <w:rPr>
        <w:color w:val="000000"/>
        <w:sz w:val="16"/>
        <w:szCs w:val="16"/>
        <w:rtl w:val="0"/>
      </w:rPr>
      <w:t xml:space="preserve">Copyright © 2022. American Academy of Pediatrics. </w:t>
    </w:r>
    <w:r w:rsidDel="00000000" w:rsidR="00000000" w:rsidRPr="00000000">
      <w:drawing>
        <wp:anchor allowOverlap="1" behindDoc="0" distB="0" distT="0" distL="114300" distR="114300" hidden="0" layoutInCell="1" locked="0" relativeHeight="0" simplePos="0">
          <wp:simplePos x="0" y="0"/>
          <wp:positionH relativeFrom="column">
            <wp:posOffset>4655820</wp:posOffset>
          </wp:positionH>
          <wp:positionV relativeFrom="paragraph">
            <wp:posOffset>22225</wp:posOffset>
          </wp:positionV>
          <wp:extent cx="1905000" cy="285750"/>
          <wp:effectExtent b="0" l="0" r="0" t="0"/>
          <wp:wrapNone/>
          <wp:docPr descr="AAPLogo_small" id="8" name="image1.jpg"/>
          <a:graphic>
            <a:graphicData uri="http://schemas.openxmlformats.org/drawingml/2006/picture">
              <pic:pic>
                <pic:nvPicPr>
                  <pic:cNvPr descr="AAPLogo_small" id="0" name="image1.jpg"/>
                  <pic:cNvPicPr preferRelativeResize="0"/>
                </pic:nvPicPr>
                <pic:blipFill>
                  <a:blip r:embed="rId1"/>
                  <a:srcRect b="0" l="0" r="0" t="0"/>
                  <a:stretch>
                    <a:fillRect/>
                  </a:stretch>
                </pic:blipFill>
                <pic:spPr>
                  <a:xfrm>
                    <a:off x="0" y="0"/>
                    <a:ext cx="1905000" cy="285750"/>
                  </a:xfrm>
                  <a:prstGeom prst="rect"/>
                  <a:ln/>
                </pic:spPr>
              </pic:pic>
            </a:graphicData>
          </a:graphic>
        </wp:anchor>
      </w:drawing>
    </w:r>
  </w:p>
  <w:p w:rsidR="00000000" w:rsidDel="00000000" w:rsidP="00000000" w:rsidRDefault="00000000" w:rsidRPr="00000000" w14:paraId="00000011">
    <w:pPr>
      <w:pBdr>
        <w:top w:color="c0c0c0" w:space="0" w:sz="8" w:val="single"/>
        <w:left w:space="0" w:sz="0" w:val="nil"/>
        <w:bottom w:space="0" w:sz="0" w:val="nil"/>
        <w:right w:space="0" w:sz="0" w:val="nil"/>
        <w:between w:space="0" w:sz="0" w:val="nil"/>
      </w:pBdr>
      <w:tabs>
        <w:tab w:val="center" w:pos="4680"/>
        <w:tab w:val="right" w:pos="9360"/>
        <w:tab w:val="center" w:pos="4140"/>
        <w:tab w:val="right" w:pos="7740"/>
        <w:tab w:val="left" w:pos="9000"/>
      </w:tabs>
      <w:rPr>
        <w:color w:val="000000"/>
        <w:sz w:val="16"/>
        <w:szCs w:val="16"/>
      </w:rPr>
    </w:pPr>
    <w:r w:rsidDel="00000000" w:rsidR="00000000" w:rsidRPr="00000000">
      <w:rPr>
        <w:color w:val="000000"/>
        <w:sz w:val="16"/>
        <w:szCs w:val="16"/>
        <w:rtl w:val="0"/>
      </w:rPr>
      <w:t xml:space="preserve">All rights reserved.</w:t>
      <w:tab/>
      <w:t xml:space="preserve">                                                       Page </w:t>
    </w:r>
    <w:r w:rsidDel="00000000" w:rsidR="00000000" w:rsidRPr="00000000">
      <w:rPr>
        <w:color w:val="000000"/>
        <w:sz w:val="16"/>
        <w:szCs w:val="16"/>
      </w:rPr>
      <w:fldChar w:fldCharType="begin"/>
      <w:instrText xml:space="preserve">PAGE</w:instrText>
      <w:fldChar w:fldCharType="separate"/>
      <w:fldChar w:fldCharType="end"/>
    </w:r>
    <w:r w:rsidDel="00000000" w:rsidR="00000000" w:rsidRPr="00000000">
      <w:rPr>
        <w:color w:val="000000"/>
        <w:sz w:val="16"/>
        <w:szCs w:val="16"/>
        <w:rtl w:val="0"/>
      </w:rPr>
      <w:t xml:space="preserve"> of </w:t>
    </w:r>
    <w:r w:rsidDel="00000000" w:rsidR="00000000" w:rsidRPr="00000000">
      <w:rPr>
        <w:color w:val="000000"/>
        <w:sz w:val="16"/>
        <w:szCs w:val="16"/>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pStyle w:val="Title"/>
      <w:rPr>
        <w:color w:val="2f5496"/>
      </w:rPr>
    </w:pPr>
    <w:r w:rsidDel="00000000" w:rsidR="00000000" w:rsidRPr="00000000">
      <w:rPr>
        <w:rFonts w:ascii="Arial" w:cs="Arial" w:eastAsia="Arial" w:hAnsi="Arial"/>
        <w:b w:val="1"/>
        <w:color w:val="3366cc"/>
        <w:sz w:val="36"/>
        <w:szCs w:val="36"/>
        <w:rtl w:val="0"/>
      </w:rPr>
      <w:t xml:space="preserve">Bright Futures – Infancy to Adolescence</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Fonts w:ascii="Cambria" w:cs="Cambria" w:eastAsia="Cambria" w:hAnsi="Cambria"/>
        <w:b w:val="1"/>
        <w:color w:val="000000"/>
        <w:sz w:val="26"/>
        <w:szCs w:val="26"/>
      </w:rPr>
      <w:drawing>
        <wp:anchor allowOverlap="1" behindDoc="0" distB="0" distT="0" distL="114300" distR="114300" hidden="0" layoutInCell="1" locked="0" relativeHeight="0" simplePos="0">
          <wp:simplePos x="0" y="0"/>
          <wp:positionH relativeFrom="margin">
            <wp:posOffset>5074920</wp:posOffset>
          </wp:positionH>
          <wp:positionV relativeFrom="topMargin">
            <wp:align>bottom</wp:align>
          </wp:positionV>
          <wp:extent cx="1468120" cy="807720"/>
          <wp:effectExtent b="0" l="0" r="0" t="0"/>
          <wp:wrapSquare wrapText="bothSides" distB="0" distT="0" distL="114300" distR="114300"/>
          <wp:docPr id="7"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468120" cy="80772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0070c0"/>
      <w:sz w:val="36"/>
      <w:szCs w:val="36"/>
    </w:rPr>
  </w:style>
  <w:style w:type="paragraph" w:styleId="Heading3">
    <w:name w:val="heading 3"/>
    <w:basedOn w:val="Normal"/>
    <w:next w:val="Normal"/>
    <w:pPr>
      <w:keepNext w:val="1"/>
      <w:keepLines w:val="1"/>
      <w:spacing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rPr>
      <w:rFonts w:ascii="Calibri" w:cs="Calibri" w:eastAsia="Calibri" w:hAnsi="Calibri"/>
      <w:sz w:val="56"/>
      <w:szCs w:val="56"/>
    </w:rPr>
  </w:style>
  <w:style w:type="paragraph" w:styleId="Normal" w:default="1">
    <w:name w:val="Normal"/>
    <w:qFormat w:val="1"/>
    <w:rsid w:val="0025571C"/>
  </w:style>
  <w:style w:type="paragraph" w:styleId="Heading1">
    <w:name w:val="heading 1"/>
    <w:basedOn w:val="Normal"/>
    <w:next w:val="Normal"/>
    <w:link w:val="Heading1Char"/>
    <w:uiPriority w:val="9"/>
    <w:qFormat w:val="1"/>
    <w:rsid w:val="00ED2FE8"/>
    <w:pPr>
      <w:keepNext w:val="1"/>
      <w:keepLines w:val="1"/>
      <w:spacing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uiPriority w:val="9"/>
    <w:semiHidden w:val="1"/>
    <w:unhideWhenUsed w:val="1"/>
    <w:qFormat w:val="1"/>
    <w:rsid w:val="0025571C"/>
    <w:pPr>
      <w:keepNext w:val="1"/>
      <w:keepLines w:val="1"/>
      <w:spacing w:before="40"/>
      <w:outlineLvl w:val="1"/>
    </w:pPr>
    <w:rPr>
      <w:rFonts w:asciiTheme="majorHAnsi" w:cstheme="majorBidi" w:eastAsiaTheme="majorEastAsia" w:hAnsiTheme="majorHAnsi"/>
      <w:color w:val="0070c0"/>
      <w:sz w:val="36"/>
      <w:szCs w:val="36"/>
    </w:rPr>
  </w:style>
  <w:style w:type="paragraph" w:styleId="Heading3">
    <w:name w:val="heading 3"/>
    <w:basedOn w:val="Normal"/>
    <w:next w:val="Normal"/>
    <w:link w:val="Heading3Char"/>
    <w:uiPriority w:val="9"/>
    <w:semiHidden w:val="1"/>
    <w:unhideWhenUsed w:val="1"/>
    <w:qFormat w:val="1"/>
    <w:rsid w:val="00894A47"/>
    <w:pPr>
      <w:keepNext w:val="1"/>
      <w:keepLines w:val="1"/>
      <w:spacing w:before="40"/>
      <w:outlineLvl w:val="2"/>
    </w:pPr>
    <w:rPr>
      <w:rFonts w:asciiTheme="majorHAnsi" w:cstheme="majorBidi" w:eastAsiaTheme="majorEastAsia" w:hAnsiTheme="majorHAnsi"/>
      <w:color w:val="1f4d78" w:themeColor="accent1" w:themeShade="00007F"/>
      <w:sz w:val="24"/>
      <w:szCs w:val="24"/>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B37B91"/>
    <w:pPr>
      <w:contextualSpacing w:val="1"/>
    </w:pPr>
    <w:rPr>
      <w:rFonts w:asciiTheme="majorHAnsi" w:cstheme="majorBidi" w:eastAsiaTheme="majorEastAsia" w:hAnsiTheme="majorHAnsi"/>
      <w:spacing w:val="-10"/>
      <w:kern w:val="28"/>
      <w:sz w:val="56"/>
      <w:szCs w:val="56"/>
    </w:rPr>
  </w:style>
  <w:style w:type="paragraph" w:styleId="Header">
    <w:name w:val="header"/>
    <w:basedOn w:val="Normal"/>
    <w:link w:val="HeaderChar"/>
    <w:uiPriority w:val="99"/>
    <w:unhideWhenUsed w:val="1"/>
    <w:rsid w:val="007A0AD1"/>
    <w:pPr>
      <w:tabs>
        <w:tab w:val="center" w:pos="4680"/>
        <w:tab w:val="right" w:pos="9360"/>
      </w:tabs>
    </w:pPr>
  </w:style>
  <w:style w:type="character" w:styleId="HeaderChar" w:customStyle="1">
    <w:name w:val="Header Char"/>
    <w:basedOn w:val="DefaultParagraphFont"/>
    <w:link w:val="Header"/>
    <w:uiPriority w:val="99"/>
    <w:rsid w:val="007A0AD1"/>
  </w:style>
  <w:style w:type="paragraph" w:styleId="Footer">
    <w:name w:val="footer"/>
    <w:basedOn w:val="Normal"/>
    <w:link w:val="FooterChar"/>
    <w:unhideWhenUsed w:val="1"/>
    <w:rsid w:val="007A0AD1"/>
    <w:pPr>
      <w:tabs>
        <w:tab w:val="center" w:pos="4680"/>
        <w:tab w:val="right" w:pos="9360"/>
      </w:tabs>
    </w:pPr>
  </w:style>
  <w:style w:type="character" w:styleId="FooterChar" w:customStyle="1">
    <w:name w:val="Footer Char"/>
    <w:basedOn w:val="DefaultParagraphFont"/>
    <w:link w:val="Footer"/>
    <w:uiPriority w:val="99"/>
    <w:rsid w:val="007A0AD1"/>
  </w:style>
  <w:style w:type="character" w:styleId="Hyperlink">
    <w:name w:val="Hyperlink"/>
    <w:rsid w:val="007A0AD1"/>
    <w:rPr>
      <w:color w:val="0000ff"/>
      <w:u w:val="single"/>
    </w:rPr>
  </w:style>
  <w:style w:type="paragraph" w:styleId="Default" w:customStyle="1">
    <w:name w:val="Default"/>
    <w:rsid w:val="00BB34F8"/>
    <w:pPr>
      <w:autoSpaceDE w:val="0"/>
      <w:autoSpaceDN w:val="0"/>
      <w:adjustRightInd w:val="0"/>
    </w:pPr>
    <w:rPr>
      <w:rFonts w:ascii="Arial" w:cs="Arial" w:hAnsi="Arial"/>
      <w:color w:val="000000"/>
      <w:sz w:val="24"/>
      <w:szCs w:val="24"/>
    </w:rPr>
  </w:style>
  <w:style w:type="character" w:styleId="PageNumber">
    <w:name w:val="page number"/>
    <w:basedOn w:val="DefaultParagraphFont"/>
    <w:rsid w:val="00BB34F8"/>
  </w:style>
  <w:style w:type="table" w:styleId="TableGrid2" w:customStyle="1">
    <w:name w:val="Table Grid2"/>
    <w:basedOn w:val="TableNormal"/>
    <w:next w:val="TableGrid"/>
    <w:uiPriority w:val="59"/>
    <w:rsid w:val="002C08C6"/>
    <w:rPr>
      <w:rFonts w:cs="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
    <w:name w:val="Table Grid"/>
    <w:basedOn w:val="TableNormal"/>
    <w:uiPriority w:val="39"/>
    <w:rsid w:val="002C08C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2Char" w:customStyle="1">
    <w:name w:val="Heading 2 Char"/>
    <w:basedOn w:val="DefaultParagraphFont"/>
    <w:link w:val="Heading2"/>
    <w:uiPriority w:val="9"/>
    <w:rsid w:val="0025571C"/>
    <w:rPr>
      <w:rFonts w:asciiTheme="majorHAnsi" w:cstheme="majorBidi" w:eastAsiaTheme="majorEastAsia" w:hAnsiTheme="majorHAnsi"/>
      <w:color w:val="0070c0"/>
      <w:sz w:val="36"/>
      <w:szCs w:val="36"/>
    </w:rPr>
  </w:style>
  <w:style w:type="paragraph" w:styleId="bullet10" w:customStyle="1">
    <w:name w:val="bullet 1"/>
    <w:basedOn w:val="Normal"/>
    <w:qFormat w:val="1"/>
    <w:rsid w:val="0025571C"/>
    <w:pPr>
      <w:numPr>
        <w:ilvl w:val="1"/>
        <w:numId w:val="2"/>
      </w:numPr>
    </w:pPr>
    <w:rPr>
      <w:rFonts w:ascii="Arial" w:cs="Arial" w:eastAsia="Times New Roman" w:hAnsi="Arial"/>
      <w:sz w:val="20"/>
      <w:szCs w:val="20"/>
    </w:rPr>
  </w:style>
  <w:style w:type="paragraph" w:styleId="Bullet1" w:customStyle="1">
    <w:name w:val="Bullet 1"/>
    <w:basedOn w:val="Normal"/>
    <w:link w:val="Bullet1Char"/>
    <w:qFormat w:val="1"/>
    <w:rsid w:val="00894A47"/>
    <w:pPr>
      <w:numPr>
        <w:numId w:val="3"/>
      </w:numPr>
      <w:spacing w:after="60" w:before="60"/>
      <w:ind w:left="630"/>
    </w:pPr>
    <w:rPr>
      <w:rFonts w:eastAsia="Times New Roman" w:cstheme="minorHAnsi"/>
    </w:rPr>
  </w:style>
  <w:style w:type="character" w:styleId="Bullet1Char" w:customStyle="1">
    <w:name w:val="Bullet 1 Char"/>
    <w:link w:val="Bullet1"/>
    <w:rsid w:val="00894A47"/>
    <w:rPr>
      <w:rFonts w:eastAsia="Times New Roman" w:cstheme="minorHAnsi"/>
    </w:rPr>
  </w:style>
  <w:style w:type="table" w:styleId="PlainTable12" w:customStyle="1">
    <w:name w:val="Plain Table 12"/>
    <w:basedOn w:val="TableNormal"/>
    <w:next w:val="PlainTable1"/>
    <w:uiPriority w:val="41"/>
    <w:rsid w:val="0025571C"/>
    <w:rPr>
      <w:rFonts w:ascii="Times New Roman" w:cs="Times New Roman" w:eastAsia="Times New Roman" w:hAnsi="Times New Roman"/>
      <w:sz w:val="20"/>
      <w:szCs w:val="20"/>
    </w:rPr>
    <w:tblPr>
      <w:tblStyleRowBandSize w:val="1"/>
      <w:tblStyleColBandSize w:val="1"/>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Pr>
    <w:tblStylePr w:type="firstRow">
      <w:rPr>
        <w:b w:val="1"/>
        <w:bCs w:val="1"/>
      </w:rPr>
    </w:tblStylePr>
    <w:tblStylePr w:type="lastRow">
      <w:rPr>
        <w:b w:val="1"/>
        <w:bCs w:val="1"/>
      </w:rPr>
      <w:tblPr/>
      <w:tcPr>
        <w:tcBorders>
          <w:top w:color="bfbfbf" w:space="0" w:sz="4" w:val="doub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PlainTable1">
    <w:name w:val="Plain Table 1"/>
    <w:basedOn w:val="TableNormal"/>
    <w:uiPriority w:val="41"/>
    <w:rsid w:val="0025571C"/>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character" w:styleId="TitleChar" w:customStyle="1">
    <w:name w:val="Title Char"/>
    <w:basedOn w:val="DefaultParagraphFont"/>
    <w:link w:val="Title"/>
    <w:uiPriority w:val="10"/>
    <w:rsid w:val="00B37B91"/>
    <w:rPr>
      <w:rFonts w:asciiTheme="majorHAnsi" w:cstheme="majorBidi" w:eastAsiaTheme="majorEastAsia" w:hAnsiTheme="majorHAnsi"/>
      <w:spacing w:val="-10"/>
      <w:kern w:val="28"/>
      <w:sz w:val="56"/>
      <w:szCs w:val="56"/>
    </w:rPr>
  </w:style>
  <w:style w:type="paragraph" w:styleId="ListParagraph">
    <w:name w:val="List Paragraph"/>
    <w:basedOn w:val="Normal"/>
    <w:link w:val="ListParagraphChar"/>
    <w:uiPriority w:val="1"/>
    <w:qFormat w:val="1"/>
    <w:rsid w:val="00894A47"/>
    <w:pPr>
      <w:ind w:left="720"/>
      <w:contextualSpacing w:val="1"/>
    </w:pPr>
  </w:style>
  <w:style w:type="character" w:styleId="Emphasis">
    <w:name w:val="Emphasis"/>
    <w:basedOn w:val="DefaultParagraphFont"/>
    <w:uiPriority w:val="20"/>
    <w:qFormat w:val="1"/>
    <w:rsid w:val="00894A47"/>
    <w:rPr>
      <w:i w:val="1"/>
      <w:iCs w:val="1"/>
    </w:rPr>
  </w:style>
  <w:style w:type="character" w:styleId="Heading3Char" w:customStyle="1">
    <w:name w:val="Heading 3 Char"/>
    <w:basedOn w:val="DefaultParagraphFont"/>
    <w:link w:val="Heading3"/>
    <w:uiPriority w:val="9"/>
    <w:rsid w:val="00894A47"/>
    <w:rPr>
      <w:rFonts w:asciiTheme="majorHAnsi" w:cstheme="majorBidi" w:eastAsiaTheme="majorEastAsia" w:hAnsiTheme="majorHAnsi"/>
      <w:color w:val="1f4d78" w:themeColor="accent1" w:themeShade="00007F"/>
      <w:sz w:val="24"/>
      <w:szCs w:val="24"/>
    </w:rPr>
  </w:style>
  <w:style w:type="paragraph" w:styleId="checkmarkbullet" w:customStyle="1">
    <w:name w:val="checkmark bullet"/>
    <w:basedOn w:val="Normal"/>
    <w:qFormat w:val="1"/>
    <w:rsid w:val="00894A47"/>
    <w:pPr>
      <w:numPr>
        <w:numId w:val="6"/>
      </w:numPr>
      <w:spacing w:before="60"/>
    </w:pPr>
    <w:rPr>
      <w:rFonts w:ascii="Arial" w:cs="Arial" w:eastAsia="Times New Roman" w:hAnsi="Arial"/>
      <w:sz w:val="20"/>
      <w:szCs w:val="20"/>
    </w:rPr>
  </w:style>
  <w:style w:type="character" w:styleId="FollowedHyperlink">
    <w:name w:val="FollowedHyperlink"/>
    <w:basedOn w:val="DefaultParagraphFont"/>
    <w:uiPriority w:val="99"/>
    <w:semiHidden w:val="1"/>
    <w:unhideWhenUsed w:val="1"/>
    <w:rsid w:val="00ED2FE8"/>
    <w:rPr>
      <w:color w:val="954f72" w:themeColor="followedHyperlink"/>
      <w:u w:val="single"/>
    </w:rPr>
  </w:style>
  <w:style w:type="character" w:styleId="Heading1Char" w:customStyle="1">
    <w:name w:val="Heading 1 Char"/>
    <w:basedOn w:val="DefaultParagraphFont"/>
    <w:link w:val="Heading1"/>
    <w:uiPriority w:val="9"/>
    <w:rsid w:val="00ED2FE8"/>
    <w:rPr>
      <w:rFonts w:asciiTheme="majorHAnsi" w:cstheme="majorBidi" w:eastAsiaTheme="majorEastAsia" w:hAnsiTheme="majorHAnsi"/>
      <w:color w:val="2e74b5" w:themeColor="accent1" w:themeShade="0000BF"/>
      <w:sz w:val="32"/>
      <w:szCs w:val="32"/>
    </w:rPr>
  </w:style>
  <w:style w:type="character" w:styleId="UnresolvedMention">
    <w:name w:val="Unresolved Mention"/>
    <w:basedOn w:val="DefaultParagraphFont"/>
    <w:uiPriority w:val="99"/>
    <w:semiHidden w:val="1"/>
    <w:unhideWhenUsed w:val="1"/>
    <w:rsid w:val="00ED2FE8"/>
    <w:rPr>
      <w:color w:val="605e5c"/>
      <w:shd w:color="auto" w:fill="e1dfdd" w:val="clear"/>
    </w:rPr>
  </w:style>
  <w:style w:type="paragraph" w:styleId="Revision">
    <w:name w:val="Revision"/>
    <w:hidden w:val="1"/>
    <w:uiPriority w:val="99"/>
    <w:semiHidden w:val="1"/>
    <w:rsid w:val="007B661F"/>
  </w:style>
  <w:style w:type="character" w:styleId="CommentReference">
    <w:name w:val="annotation reference"/>
    <w:basedOn w:val="DefaultParagraphFont"/>
    <w:uiPriority w:val="99"/>
    <w:semiHidden w:val="1"/>
    <w:unhideWhenUsed w:val="1"/>
    <w:rsid w:val="00025A04"/>
    <w:rPr>
      <w:sz w:val="16"/>
      <w:szCs w:val="16"/>
    </w:rPr>
  </w:style>
  <w:style w:type="paragraph" w:styleId="CommentText">
    <w:name w:val="annotation text"/>
    <w:basedOn w:val="Normal"/>
    <w:link w:val="CommentTextChar"/>
    <w:uiPriority w:val="99"/>
    <w:semiHidden w:val="1"/>
    <w:unhideWhenUsed w:val="1"/>
    <w:rsid w:val="00025A04"/>
    <w:rPr>
      <w:sz w:val="20"/>
      <w:szCs w:val="20"/>
    </w:rPr>
  </w:style>
  <w:style w:type="character" w:styleId="CommentTextChar" w:customStyle="1">
    <w:name w:val="Comment Text Char"/>
    <w:basedOn w:val="DefaultParagraphFont"/>
    <w:link w:val="CommentText"/>
    <w:uiPriority w:val="99"/>
    <w:semiHidden w:val="1"/>
    <w:rsid w:val="00025A04"/>
    <w:rPr>
      <w:sz w:val="20"/>
      <w:szCs w:val="20"/>
    </w:rPr>
  </w:style>
  <w:style w:type="paragraph" w:styleId="CommentSubject">
    <w:name w:val="annotation subject"/>
    <w:basedOn w:val="CommentText"/>
    <w:next w:val="CommentText"/>
    <w:link w:val="CommentSubjectChar"/>
    <w:uiPriority w:val="99"/>
    <w:semiHidden w:val="1"/>
    <w:unhideWhenUsed w:val="1"/>
    <w:rsid w:val="00025A04"/>
    <w:rPr>
      <w:b w:val="1"/>
      <w:bCs w:val="1"/>
    </w:rPr>
  </w:style>
  <w:style w:type="character" w:styleId="CommentSubjectChar" w:customStyle="1">
    <w:name w:val="Comment Subject Char"/>
    <w:basedOn w:val="CommentTextChar"/>
    <w:link w:val="CommentSubject"/>
    <w:uiPriority w:val="99"/>
    <w:semiHidden w:val="1"/>
    <w:rsid w:val="00025A04"/>
    <w:rPr>
      <w:b w:val="1"/>
      <w:bCs w:val="1"/>
      <w:sz w:val="20"/>
      <w:szCs w:val="20"/>
    </w:rPr>
  </w:style>
  <w:style w:type="character" w:styleId="ListParagraphChar" w:customStyle="1">
    <w:name w:val="List Paragraph Char"/>
    <w:link w:val="ListParagraph"/>
    <w:uiPriority w:val="1"/>
    <w:rsid w:val="00070BA0"/>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adolescenthealth.org/Advocacy/Advocacy-Activities/2019-(1)/NASPAG-SAHM-Statement.aspx" TargetMode="External"/><Relationship Id="rId10" Type="http://schemas.openxmlformats.org/officeDocument/2006/relationships/hyperlink" Target="https://eqipp.aap.org/File%20Library/Courses/bright-futures3/Adolescent%20Confidentiality%20and%20Privacy.pdf" TargetMode="External"/><Relationship Id="rId13" Type="http://schemas.openxmlformats.org/officeDocument/2006/relationships/hyperlink" Target="https://www.aap.org/en/patient-care/adolescent-sexual-health/" TargetMode="External"/><Relationship Id="rId12" Type="http://schemas.openxmlformats.org/officeDocument/2006/relationships/hyperlink" Target="https://doi.org/10.1542/peds.2018-216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qipp.aap.org/File%20Library/Courses/bright-futures3/Sample%20Confidentiality%20Statement%20and%20Customizable%20Confidentiality%20Letters.pdf"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dc.gov/std/treatment-guidelines/screening-recommendations.htm" TargetMode="External"/><Relationship Id="rId8" Type="http://schemas.openxmlformats.org/officeDocument/2006/relationships/hyperlink" Target="https://www.uspreventiveservicestaskforce.org/uspstf/recommendation/chlamydia-and-gonorrhea-screenin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Hf/UbeREqRpRDfbz3E661+27uA==">AMUW2mVMtAd5DVxYPzXGsvNvBRk9TMZdFQ9Na21GnPD0/pcRZOLfn+2Ao7Z3ByaJX2EgcH4XTN7Oa6yPK99GqXT0dIIQpk92wsfjmwG+n5tJNXHvNnMWEFq8OvHidOF/JqT3AMv4tNIJ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2022-08-26T13:23:00Z</dcterms:created>
  <dc:creator>O'Brien, Linda</dc:creator>
</cp:coreProperties>
</file>